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6B8" w:rsidRPr="00B36104" w:rsidRDefault="008426B8" w:rsidP="008426B8">
      <w:pPr>
        <w:spacing w:after="0" w:line="360" w:lineRule="auto"/>
        <w:jc w:val="both"/>
        <w:rPr>
          <w:rFonts w:ascii="Palatino Linotype" w:hAnsi="Palatino Linotype"/>
          <w:b/>
          <w:color w:val="FF0000"/>
          <w:sz w:val="24"/>
          <w:szCs w:val="24"/>
        </w:rPr>
      </w:pPr>
    </w:p>
    <w:p w:rsidR="008426B8" w:rsidRPr="000A120A" w:rsidRDefault="008426B8" w:rsidP="008426B8">
      <w:pPr>
        <w:spacing w:after="0" w:line="360" w:lineRule="auto"/>
        <w:jc w:val="both"/>
        <w:rPr>
          <w:rFonts w:ascii="Palatino Linotype" w:hAnsi="Palatino Linotype"/>
          <w:b/>
          <w:sz w:val="23"/>
          <w:szCs w:val="23"/>
        </w:rPr>
      </w:pPr>
      <w:r w:rsidRPr="000A120A">
        <w:rPr>
          <w:rFonts w:ascii="Palatino Linotype" w:hAnsi="Palatino Linotype"/>
          <w:b/>
          <w:sz w:val="23"/>
          <w:szCs w:val="23"/>
        </w:rPr>
        <w:t xml:space="preserve">VOTO PARTICULAR QUE FORMULA EL COMISIONADO JAVIER MARTÍNEZ CRUZ, EN RELACIÓN CON LA RESOLUCIÓN DICTADA POR EL PLENO DEL INSTITUTO DE TRANSPARENCIA, ACCESO A LA INFORMACIÓN PÚBLICA Y PROTECCIÓN DE DATOS PERSONALES DEL ESTADO DE MÉXICO Y MUNICIPIOS, EN LA </w:t>
      </w:r>
      <w:r w:rsidR="000A120A" w:rsidRPr="000A120A">
        <w:rPr>
          <w:rFonts w:ascii="Palatino Linotype" w:hAnsi="Palatino Linotype"/>
          <w:b/>
          <w:sz w:val="23"/>
          <w:szCs w:val="23"/>
        </w:rPr>
        <w:t>PRIMERA SESIÓN ORDINARIA DEL NUEVE DE ENERO DE DOS MIL DIECINUEVE</w:t>
      </w:r>
      <w:r w:rsidRPr="000A120A">
        <w:rPr>
          <w:rFonts w:ascii="Palatino Linotype" w:hAnsi="Palatino Linotype"/>
          <w:b/>
          <w:sz w:val="23"/>
          <w:szCs w:val="23"/>
        </w:rPr>
        <w:t xml:space="preserve">, EN EL RECURSO DE REVISIÓN </w:t>
      </w:r>
      <w:r w:rsidR="00A74FA7" w:rsidRPr="005A5E02">
        <w:rPr>
          <w:rFonts w:ascii="Palatino Linotype" w:hAnsi="Palatino Linotype"/>
          <w:b/>
          <w:lang w:val="es-ES_tradnl"/>
        </w:rPr>
        <w:t>0</w:t>
      </w:r>
      <w:r w:rsidR="00A74FA7">
        <w:rPr>
          <w:rFonts w:ascii="Palatino Linotype" w:hAnsi="Palatino Linotype"/>
          <w:b/>
          <w:lang w:val="es-ES_tradnl"/>
        </w:rPr>
        <w:t>3952/INFOEM/IP</w:t>
      </w:r>
      <w:r w:rsidR="00A74FA7" w:rsidRPr="005A5E02">
        <w:rPr>
          <w:rFonts w:ascii="Palatino Linotype" w:hAnsi="Palatino Linotype"/>
          <w:b/>
          <w:lang w:val="es-ES_tradnl"/>
        </w:rPr>
        <w:t>/RR/201</w:t>
      </w:r>
      <w:r w:rsidR="00A74FA7">
        <w:rPr>
          <w:rFonts w:ascii="Palatino Linotype" w:hAnsi="Palatino Linotype"/>
          <w:b/>
          <w:lang w:val="es-ES_tradnl"/>
        </w:rPr>
        <w:t>8 y acumulados</w:t>
      </w:r>
      <w:r w:rsidRPr="000A120A">
        <w:rPr>
          <w:rFonts w:ascii="Palatino Linotype" w:hAnsi="Palatino Linotype"/>
          <w:b/>
          <w:sz w:val="23"/>
          <w:szCs w:val="23"/>
          <w:lang w:val="es-ES_tradnl"/>
        </w:rPr>
        <w:t>.</w:t>
      </w:r>
    </w:p>
    <w:p w:rsidR="008426B8" w:rsidRPr="00B36104" w:rsidRDefault="008426B8" w:rsidP="008426B8">
      <w:pPr>
        <w:spacing w:after="0" w:line="360" w:lineRule="auto"/>
        <w:jc w:val="both"/>
        <w:rPr>
          <w:rFonts w:ascii="Palatino Linotype" w:hAnsi="Palatino Linotype"/>
          <w:color w:val="FF0000"/>
          <w:sz w:val="23"/>
          <w:szCs w:val="23"/>
        </w:rPr>
      </w:pPr>
    </w:p>
    <w:p w:rsidR="008426B8" w:rsidRDefault="008426B8" w:rsidP="008426B8">
      <w:pPr>
        <w:spacing w:after="0" w:line="360" w:lineRule="auto"/>
        <w:jc w:val="both"/>
        <w:rPr>
          <w:rFonts w:ascii="Palatino Linotype" w:hAnsi="Palatino Linotype"/>
          <w:sz w:val="24"/>
          <w:szCs w:val="24"/>
        </w:rPr>
      </w:pPr>
      <w:r w:rsidRPr="00BB3EE5">
        <w:rPr>
          <w:rFonts w:ascii="Palatino Linotype" w:hAnsi="Palatino Linotype"/>
          <w:sz w:val="24"/>
          <w:szCs w:val="24"/>
        </w:rPr>
        <w:t xml:space="preserve">Con fundamento en lo dispuesto por el artículo 14, fracciones X y XI, del Reglamento del Instituto de Transparencia, Acceso a la Información Pública y Protección de Datos Personales del Estado de México, el Comisionado Javier Martínez Cruz emite </w:t>
      </w:r>
      <w:r w:rsidRPr="00BB3EE5">
        <w:rPr>
          <w:rFonts w:ascii="Palatino Linotype" w:hAnsi="Palatino Linotype"/>
          <w:b/>
          <w:sz w:val="24"/>
          <w:szCs w:val="24"/>
        </w:rPr>
        <w:t>VOTO PARTICULAR</w:t>
      </w:r>
      <w:r w:rsidRPr="00BB3EE5">
        <w:rPr>
          <w:rFonts w:ascii="Palatino Linotype" w:hAnsi="Palatino Linotype"/>
          <w:sz w:val="24"/>
          <w:szCs w:val="24"/>
        </w:rPr>
        <w:t xml:space="preserve"> respecto a la resolución dictada en el recurso de revisión número </w:t>
      </w:r>
      <w:r w:rsidR="00A74FA7" w:rsidRPr="005A5E02">
        <w:rPr>
          <w:rFonts w:ascii="Palatino Linotype" w:hAnsi="Palatino Linotype"/>
          <w:b/>
          <w:lang w:val="es-ES_tradnl"/>
        </w:rPr>
        <w:t>0</w:t>
      </w:r>
      <w:r w:rsidR="00A74FA7">
        <w:rPr>
          <w:rFonts w:ascii="Palatino Linotype" w:hAnsi="Palatino Linotype"/>
          <w:b/>
          <w:lang w:val="es-ES_tradnl"/>
        </w:rPr>
        <w:t>3952/INFOEM/IP</w:t>
      </w:r>
      <w:r w:rsidR="00A74FA7" w:rsidRPr="005A5E02">
        <w:rPr>
          <w:rFonts w:ascii="Palatino Linotype" w:hAnsi="Palatino Linotype"/>
          <w:b/>
          <w:lang w:val="es-ES_tradnl"/>
        </w:rPr>
        <w:t>/RR/201</w:t>
      </w:r>
      <w:r w:rsidR="00A74FA7">
        <w:rPr>
          <w:rFonts w:ascii="Palatino Linotype" w:hAnsi="Palatino Linotype"/>
          <w:b/>
          <w:lang w:val="es-ES_tradnl"/>
        </w:rPr>
        <w:t xml:space="preserve">8 y acumulados </w:t>
      </w:r>
      <w:r w:rsidRPr="00BB3EE5">
        <w:rPr>
          <w:rFonts w:ascii="Palatino Linotype" w:hAnsi="Palatino Linotype"/>
          <w:sz w:val="24"/>
          <w:szCs w:val="24"/>
          <w:lang w:val="es-ES_tradnl"/>
        </w:rPr>
        <w:t xml:space="preserve">pronunciada </w:t>
      </w:r>
      <w:r w:rsidRPr="00BB3EE5">
        <w:rPr>
          <w:rFonts w:ascii="Palatino Linotype" w:hAnsi="Palatino Linotype"/>
          <w:sz w:val="24"/>
          <w:szCs w:val="24"/>
        </w:rPr>
        <w:t xml:space="preserve">por el Pleno de este Instituto ante el proyecto presentado por la Comisionada </w:t>
      </w:r>
      <w:r w:rsidRPr="00BB3EE5">
        <w:rPr>
          <w:rFonts w:ascii="Palatino Linotype" w:hAnsi="Palatino Linotype"/>
          <w:b/>
          <w:sz w:val="24"/>
          <w:szCs w:val="24"/>
          <w:lang w:val="es-ES_tradnl"/>
        </w:rPr>
        <w:t>Eva Abaid Yapur</w:t>
      </w:r>
      <w:r w:rsidRPr="00BB3EE5">
        <w:rPr>
          <w:rFonts w:ascii="Palatino Linotype" w:hAnsi="Palatino Linotype"/>
          <w:sz w:val="24"/>
          <w:szCs w:val="24"/>
        </w:rPr>
        <w:t xml:space="preserve">, que es del tenor siguiente: </w:t>
      </w:r>
    </w:p>
    <w:p w:rsidR="007F3D01" w:rsidRDefault="007F3D01" w:rsidP="008426B8">
      <w:pPr>
        <w:spacing w:after="0" w:line="360" w:lineRule="auto"/>
        <w:jc w:val="both"/>
        <w:rPr>
          <w:rFonts w:ascii="Palatino Linotype" w:hAnsi="Palatino Linotype"/>
          <w:sz w:val="24"/>
          <w:szCs w:val="24"/>
        </w:rPr>
      </w:pPr>
    </w:p>
    <w:p w:rsidR="007F3D01" w:rsidRPr="007F3D01" w:rsidRDefault="007F3D01" w:rsidP="008426B8">
      <w:pPr>
        <w:spacing w:after="0" w:line="360" w:lineRule="auto"/>
        <w:jc w:val="both"/>
        <w:rPr>
          <w:rFonts w:ascii="Palatino Linotype" w:hAnsi="Palatino Linotype" w:cs="Arial"/>
          <w:sz w:val="24"/>
          <w:szCs w:val="24"/>
        </w:rPr>
      </w:pPr>
      <w:r w:rsidRPr="007F3D01">
        <w:rPr>
          <w:rFonts w:ascii="Palatino Linotype" w:hAnsi="Palatino Linotype" w:cs="Arial"/>
          <w:sz w:val="24"/>
          <w:szCs w:val="24"/>
        </w:rPr>
        <w:t>E</w:t>
      </w:r>
      <w:r w:rsidRPr="007F3D01">
        <w:rPr>
          <w:rFonts w:ascii="Palatino Linotype" w:hAnsi="Palatino Linotype" w:cs="Arial"/>
          <w:sz w:val="24"/>
          <w:szCs w:val="24"/>
        </w:rPr>
        <w:t xml:space="preserve">n primer término debemos recordar que las solicitudes de información planteadas por </w:t>
      </w:r>
      <w:r w:rsidRPr="007F3D01">
        <w:rPr>
          <w:rFonts w:ascii="Palatino Linotype" w:hAnsi="Palatino Linotype" w:cs="Arial"/>
          <w:b/>
          <w:sz w:val="24"/>
          <w:szCs w:val="24"/>
        </w:rPr>
        <w:t>EL RECURRENTE</w:t>
      </w:r>
      <w:r w:rsidRPr="007F3D01">
        <w:rPr>
          <w:rFonts w:ascii="Palatino Linotype" w:hAnsi="Palatino Linotype" w:cs="Arial"/>
          <w:sz w:val="24"/>
          <w:szCs w:val="24"/>
        </w:rPr>
        <w:t>, consistieron medularmente en que le fueran proporcionadas las carpetas de las sesiones ordinarias 13, 14, 15, 16, 17, 18, 19, 20, 21, 22, 23, 24 y 25 del Comité Interno de Mejora Regulatoria</w:t>
      </w:r>
    </w:p>
    <w:p w:rsidR="007F3D01" w:rsidRPr="007F3D01" w:rsidRDefault="007F3D01" w:rsidP="008426B8">
      <w:pPr>
        <w:spacing w:after="0" w:line="360" w:lineRule="auto"/>
        <w:jc w:val="both"/>
        <w:rPr>
          <w:rFonts w:ascii="Palatino Linotype" w:hAnsi="Palatino Linotype" w:cs="Arial"/>
          <w:sz w:val="24"/>
          <w:szCs w:val="24"/>
        </w:rPr>
      </w:pPr>
    </w:p>
    <w:p w:rsidR="007F3D01" w:rsidRPr="007F3D01" w:rsidRDefault="007F3D01" w:rsidP="007F3D01">
      <w:pPr>
        <w:tabs>
          <w:tab w:val="left" w:pos="8647"/>
        </w:tabs>
        <w:spacing w:before="100" w:beforeAutospacing="1" w:after="100" w:afterAutospacing="1" w:line="360" w:lineRule="auto"/>
        <w:ind w:right="51"/>
        <w:jc w:val="both"/>
        <w:rPr>
          <w:rFonts w:ascii="Palatino Linotype" w:hAnsi="Palatino Linotype"/>
          <w:sz w:val="24"/>
          <w:szCs w:val="24"/>
        </w:rPr>
      </w:pPr>
      <w:r w:rsidRPr="007F3D01">
        <w:rPr>
          <w:rFonts w:ascii="Palatino Linotype" w:hAnsi="Palatino Linotype"/>
          <w:sz w:val="24"/>
          <w:szCs w:val="24"/>
        </w:rPr>
        <w:lastRenderedPageBreak/>
        <w:t xml:space="preserve">En sus respuestas, </w:t>
      </w:r>
      <w:r w:rsidRPr="007F3D01">
        <w:rPr>
          <w:rFonts w:ascii="Palatino Linotype" w:hAnsi="Palatino Linotype"/>
          <w:b/>
          <w:sz w:val="24"/>
          <w:szCs w:val="24"/>
        </w:rPr>
        <w:t xml:space="preserve">EL SUJETO OBLIGADO </w:t>
      </w:r>
      <w:r w:rsidRPr="007F3D01">
        <w:rPr>
          <w:rFonts w:ascii="Palatino Linotype" w:hAnsi="Palatino Linotype"/>
          <w:sz w:val="24"/>
          <w:szCs w:val="24"/>
        </w:rPr>
        <w:t>señaló que una vez realizada la búsqueda exhaustiva de la información en la Dirección de Planeación y Vinculación dicha Dirección informó que no tiene entre sus archivos las carpetas de trabajo de las Sesiones Ordinarias del Comité Interno de Mejora Regulatoria números 13, 15 y16; refiriendo que se solicitó al Comité de Transparencia emitiera la Declaratoria de Inexistencia correspondiente.</w:t>
      </w:r>
    </w:p>
    <w:p w:rsidR="007F3D01" w:rsidRPr="007F3D01" w:rsidRDefault="007F3D01" w:rsidP="007F3D01">
      <w:pPr>
        <w:tabs>
          <w:tab w:val="left" w:pos="8647"/>
        </w:tabs>
        <w:spacing w:before="100" w:beforeAutospacing="1" w:after="100" w:afterAutospacing="1" w:line="360" w:lineRule="auto"/>
        <w:ind w:right="51"/>
        <w:jc w:val="both"/>
        <w:rPr>
          <w:rFonts w:ascii="Palatino Linotype" w:hAnsi="Palatino Linotype"/>
          <w:sz w:val="24"/>
          <w:szCs w:val="24"/>
        </w:rPr>
      </w:pPr>
      <w:r w:rsidRPr="007F3D01">
        <w:rPr>
          <w:rFonts w:ascii="Palatino Linotype" w:hAnsi="Palatino Linotype"/>
          <w:sz w:val="24"/>
          <w:szCs w:val="24"/>
        </w:rPr>
        <w:t>Por otra parte, señaló que al no existe fuente obligacional que lo constriña a contar con la información en algún medio digital o electrónico, informaba que de la Décimo Cuarta a la Vigésimo Cuarta sesión ordinaria las carpetas acumulaban un total de 215 hojas lo que equivalía a la cantidad de $129.00 (Ciento veintinueve pesos 00/100 M.N.) por concepto de escaneo y digitalización de la información, informando el procedimiento mediante el cual podría realizar el pago correspondiente y como enviar el comprobante de pago para proceder a la entrega en la modalidad requerida, es decir vía SAIMEX.</w:t>
      </w:r>
    </w:p>
    <w:p w:rsidR="007F3D01" w:rsidRPr="007F3D01" w:rsidRDefault="007F3D01" w:rsidP="007F3D01">
      <w:pPr>
        <w:tabs>
          <w:tab w:val="left" w:pos="8647"/>
        </w:tabs>
        <w:spacing w:before="100" w:beforeAutospacing="1" w:after="100" w:afterAutospacing="1" w:line="360" w:lineRule="auto"/>
        <w:ind w:right="51"/>
        <w:jc w:val="both"/>
        <w:rPr>
          <w:rFonts w:ascii="Palatino Linotype" w:hAnsi="Palatino Linotype"/>
          <w:sz w:val="24"/>
          <w:szCs w:val="24"/>
        </w:rPr>
      </w:pPr>
      <w:r w:rsidRPr="007F3D01">
        <w:rPr>
          <w:rFonts w:ascii="Palatino Linotype" w:hAnsi="Palatino Linotype"/>
          <w:sz w:val="24"/>
          <w:szCs w:val="24"/>
        </w:rPr>
        <w:t xml:space="preserve">Finalmente, respecto de la carpeta de la sesión ordinaria número 25 del Comité Interno de Mejora Regulatoria, </w:t>
      </w:r>
      <w:r w:rsidRPr="007F3D01">
        <w:rPr>
          <w:rFonts w:ascii="Palatino Linotype" w:hAnsi="Palatino Linotype"/>
          <w:b/>
          <w:sz w:val="24"/>
          <w:szCs w:val="24"/>
        </w:rPr>
        <w:t xml:space="preserve">EL SUJETO OBLIGADO </w:t>
      </w:r>
      <w:r w:rsidRPr="007F3D01">
        <w:rPr>
          <w:rFonts w:ascii="Palatino Linotype" w:hAnsi="Palatino Linotype"/>
          <w:sz w:val="24"/>
          <w:szCs w:val="24"/>
        </w:rPr>
        <w:t>informó que, la misma no obra en los archivos de la Dirección de Planeación y Vinculación toda vez que aún no se ha celebrado dicha sesión, pues de acuerdo al calendario, ésta se llevaría a cabo el trece de diciembre de dos mil dieciocho.</w:t>
      </w:r>
    </w:p>
    <w:p w:rsidR="007F3D01" w:rsidRDefault="007F3D01" w:rsidP="008426B8">
      <w:pPr>
        <w:spacing w:after="0" w:line="360" w:lineRule="auto"/>
        <w:jc w:val="both"/>
        <w:rPr>
          <w:rFonts w:ascii="Palatino Linotype" w:hAnsi="Palatino Linotype" w:cs="Arial"/>
        </w:rPr>
      </w:pPr>
    </w:p>
    <w:p w:rsidR="007F3D01" w:rsidRPr="00955E9B" w:rsidRDefault="007F3D01" w:rsidP="008426B8">
      <w:pPr>
        <w:spacing w:after="0" w:line="360" w:lineRule="auto"/>
        <w:jc w:val="both"/>
        <w:rPr>
          <w:rFonts w:ascii="Palatino Linotype" w:hAnsi="Palatino Linotype" w:cs="Arial"/>
          <w:sz w:val="24"/>
          <w:szCs w:val="24"/>
          <w:lang w:val="es-ES_tradnl"/>
        </w:rPr>
      </w:pPr>
      <w:r w:rsidRPr="00955E9B">
        <w:rPr>
          <w:rFonts w:ascii="Palatino Linotype" w:hAnsi="Palatino Linotype"/>
          <w:sz w:val="24"/>
          <w:szCs w:val="24"/>
        </w:rPr>
        <w:lastRenderedPageBreak/>
        <w:t>Inconforme</w:t>
      </w:r>
      <w:r w:rsidRPr="00955E9B">
        <w:rPr>
          <w:rFonts w:ascii="Palatino Linotype" w:hAnsi="Palatino Linotype" w:cs="Arial"/>
          <w:sz w:val="24"/>
          <w:szCs w:val="24"/>
          <w:lang w:val="es-ES_tradnl"/>
        </w:rPr>
        <w:t xml:space="preserve"> </w:t>
      </w:r>
      <w:r w:rsidRPr="00955E9B">
        <w:rPr>
          <w:rFonts w:ascii="Palatino Linotype" w:hAnsi="Palatino Linotype" w:cs="Arial"/>
          <w:sz w:val="24"/>
          <w:szCs w:val="24"/>
        </w:rPr>
        <w:t>con</w:t>
      </w:r>
      <w:r w:rsidRPr="00955E9B">
        <w:rPr>
          <w:rFonts w:ascii="Palatino Linotype" w:hAnsi="Palatino Linotype" w:cs="Arial"/>
          <w:sz w:val="24"/>
          <w:szCs w:val="24"/>
          <w:lang w:val="es-ES_tradnl"/>
        </w:rPr>
        <w:t xml:space="preserve"> las respuestas otorgadas por </w:t>
      </w:r>
      <w:r w:rsidRPr="00955E9B">
        <w:rPr>
          <w:rFonts w:ascii="Palatino Linotype" w:hAnsi="Palatino Linotype" w:cs="Arial"/>
          <w:b/>
          <w:sz w:val="24"/>
          <w:szCs w:val="24"/>
          <w:lang w:val="es-ES_tradnl"/>
        </w:rPr>
        <w:t>EL SUJETO OBLIGADO</w:t>
      </w:r>
      <w:r w:rsidRPr="00955E9B">
        <w:rPr>
          <w:rFonts w:ascii="Palatino Linotype" w:hAnsi="Palatino Linotype" w:cs="Arial"/>
          <w:sz w:val="24"/>
          <w:szCs w:val="24"/>
          <w:lang w:val="es-ES_tradnl"/>
        </w:rPr>
        <w:t xml:space="preserve">, </w:t>
      </w:r>
      <w:r w:rsidRPr="00955E9B">
        <w:rPr>
          <w:rFonts w:ascii="Palatino Linotype" w:hAnsi="Palatino Linotype" w:cs="Arial"/>
          <w:b/>
          <w:sz w:val="24"/>
          <w:szCs w:val="24"/>
          <w:lang w:val="es-ES_tradnl"/>
        </w:rPr>
        <w:t>E</w:t>
      </w:r>
      <w:r w:rsidRPr="00955E9B">
        <w:rPr>
          <w:rFonts w:ascii="Palatino Linotype" w:hAnsi="Palatino Linotype" w:cs="Arial"/>
          <w:b/>
          <w:color w:val="000000"/>
          <w:sz w:val="24"/>
          <w:szCs w:val="24"/>
          <w:lang w:eastAsia="es-MX"/>
        </w:rPr>
        <w:t xml:space="preserve">L RECURRENTE </w:t>
      </w:r>
      <w:r w:rsidRPr="00955E9B">
        <w:rPr>
          <w:rFonts w:ascii="Palatino Linotype" w:hAnsi="Palatino Linotype" w:cs="Arial"/>
          <w:sz w:val="24"/>
          <w:szCs w:val="24"/>
          <w:lang w:val="es-ES_tradnl"/>
        </w:rPr>
        <w:t xml:space="preserve">interpuso los medios de </w:t>
      </w:r>
      <w:r w:rsidRPr="00955E9B">
        <w:rPr>
          <w:rFonts w:ascii="Palatino Linotype" w:hAnsi="Palatino Linotype"/>
          <w:sz w:val="24"/>
          <w:szCs w:val="24"/>
        </w:rPr>
        <w:t>impugnación</w:t>
      </w:r>
      <w:r w:rsidRPr="00955E9B">
        <w:rPr>
          <w:rFonts w:ascii="Palatino Linotype" w:hAnsi="Palatino Linotype" w:cs="Arial"/>
          <w:sz w:val="24"/>
          <w:szCs w:val="24"/>
          <w:lang w:val="es-ES_tradnl"/>
        </w:rPr>
        <w:t xml:space="preserve"> materia de </w:t>
      </w:r>
      <w:r w:rsidRPr="00955E9B">
        <w:rPr>
          <w:rFonts w:ascii="Palatino Linotype" w:hAnsi="Palatino Linotype" w:cs="Arial"/>
          <w:sz w:val="24"/>
          <w:szCs w:val="24"/>
        </w:rPr>
        <w:t>análisis</w:t>
      </w:r>
      <w:r w:rsidRPr="00955E9B">
        <w:rPr>
          <w:rFonts w:ascii="Palatino Linotype" w:hAnsi="Palatino Linotype" w:cs="Arial"/>
          <w:sz w:val="24"/>
          <w:szCs w:val="24"/>
          <w:lang w:val="es-ES_tradnl"/>
        </w:rPr>
        <w:t>, en los que indicó como Acto Impugnado y Razones o Motivos de Inconformidad</w:t>
      </w:r>
      <w:r w:rsidRPr="00955E9B">
        <w:rPr>
          <w:rFonts w:ascii="Palatino Linotype" w:hAnsi="Palatino Linotype" w:cs="Arial"/>
          <w:sz w:val="24"/>
          <w:szCs w:val="24"/>
          <w:lang w:val="es-ES_tradnl"/>
        </w:rPr>
        <w:t xml:space="preserve"> la falta por parte del SUEJTO OBLIGADO a proporcionar la totalidad de la información solicitada. </w:t>
      </w:r>
    </w:p>
    <w:p w:rsidR="007F3D01" w:rsidRDefault="007F3D01" w:rsidP="008426B8">
      <w:pPr>
        <w:spacing w:after="0" w:line="360" w:lineRule="auto"/>
        <w:jc w:val="both"/>
        <w:rPr>
          <w:rFonts w:ascii="Palatino Linotype" w:hAnsi="Palatino Linotype" w:cs="Arial"/>
          <w:lang w:val="es-ES_tradnl"/>
        </w:rPr>
      </w:pPr>
    </w:p>
    <w:p w:rsidR="007F3D01" w:rsidRPr="00955E9B" w:rsidRDefault="00955E9B" w:rsidP="008426B8">
      <w:pPr>
        <w:spacing w:after="0" w:line="360" w:lineRule="auto"/>
        <w:jc w:val="both"/>
        <w:rPr>
          <w:rFonts w:ascii="Palatino Linotype" w:hAnsi="Palatino Linotype" w:cs="Arial"/>
          <w:sz w:val="24"/>
          <w:szCs w:val="24"/>
          <w:lang w:val="es-ES_tradnl"/>
        </w:rPr>
      </w:pPr>
      <w:r w:rsidRPr="00955E9B">
        <w:rPr>
          <w:rFonts w:ascii="Palatino Linotype" w:hAnsi="Palatino Linotype" w:cs="Arial"/>
          <w:sz w:val="24"/>
          <w:szCs w:val="24"/>
        </w:rPr>
        <w:t xml:space="preserve">Por otra parte, de las constancias que obran en el </w:t>
      </w:r>
      <w:r w:rsidRPr="00955E9B">
        <w:rPr>
          <w:rFonts w:ascii="Palatino Linotype" w:hAnsi="Palatino Linotype" w:cs="Arial"/>
          <w:b/>
          <w:sz w:val="24"/>
          <w:szCs w:val="24"/>
        </w:rPr>
        <w:t>SAIMEX,</w:t>
      </w:r>
      <w:r w:rsidRPr="00955E9B">
        <w:rPr>
          <w:rFonts w:ascii="Palatino Linotype" w:hAnsi="Palatino Linotype" w:cs="Arial"/>
          <w:sz w:val="24"/>
          <w:szCs w:val="24"/>
        </w:rPr>
        <w:t xml:space="preserve"> se advierte que </w:t>
      </w:r>
      <w:r w:rsidRPr="00955E9B">
        <w:rPr>
          <w:rFonts w:ascii="Palatino Linotype" w:hAnsi="Palatino Linotype" w:cs="Arial"/>
          <w:b/>
          <w:sz w:val="24"/>
          <w:szCs w:val="24"/>
        </w:rPr>
        <w:t>EL RECURRENTE</w:t>
      </w:r>
      <w:r w:rsidRPr="00955E9B">
        <w:rPr>
          <w:rFonts w:ascii="Palatino Linotype" w:hAnsi="Palatino Linotype" w:cs="Arial"/>
          <w:sz w:val="24"/>
          <w:szCs w:val="24"/>
        </w:rPr>
        <w:t xml:space="preserve"> omitió presentar las manifestaciones, alegatos y los medios de prueba que a su derecho conviniera, mientras que </w:t>
      </w:r>
      <w:r w:rsidRPr="00955E9B">
        <w:rPr>
          <w:rFonts w:ascii="Palatino Linotype" w:hAnsi="Palatino Linotype" w:cs="Arial"/>
          <w:b/>
          <w:sz w:val="24"/>
          <w:szCs w:val="24"/>
        </w:rPr>
        <w:t>EL SUJETO OBLIGADO</w:t>
      </w:r>
      <w:r w:rsidRPr="00955E9B">
        <w:rPr>
          <w:rFonts w:ascii="Palatino Linotype" w:hAnsi="Palatino Linotype" w:cs="Arial"/>
          <w:sz w:val="24"/>
          <w:szCs w:val="24"/>
        </w:rPr>
        <w:t>, rindió sus Informes Justificados en los mismos términos señalando el Director de Planeación y Vinculación que en relación con la Carpeta de la Sesión Ordinaria número 13 del Comité Interno de Mejora Regulatoria informaba que en la Universidad Politécnica del Valle de Toluca dicho Comité se instaló el 9 de junio de 2012; por lo que, había realizado una búsqueda exhaustiva y razonable en sus archivos de la carpeta en comento, durante el periodo del 9 de junio del 2012 al 24 de abril de 2018 sin localizar dato alguno, agregando que solicitó al Comité de Transparencia emitiera la Declaratoria de Inexistencia de la información</w:t>
      </w:r>
    </w:p>
    <w:p w:rsidR="007F3D01" w:rsidRDefault="007F3D01" w:rsidP="008426B8">
      <w:pPr>
        <w:spacing w:after="0" w:line="360" w:lineRule="auto"/>
        <w:jc w:val="both"/>
        <w:rPr>
          <w:rFonts w:ascii="Palatino Linotype" w:hAnsi="Palatino Linotype" w:cs="Arial"/>
          <w:lang w:val="es-ES_tradnl"/>
        </w:rPr>
      </w:pPr>
    </w:p>
    <w:p w:rsidR="003D0879" w:rsidRPr="003D0879" w:rsidRDefault="003D0879" w:rsidP="003D0879">
      <w:pPr>
        <w:tabs>
          <w:tab w:val="left" w:pos="8647"/>
        </w:tabs>
        <w:spacing w:before="100" w:beforeAutospacing="1" w:after="100" w:afterAutospacing="1" w:line="360" w:lineRule="auto"/>
        <w:ind w:right="51"/>
        <w:jc w:val="both"/>
        <w:rPr>
          <w:rFonts w:ascii="Palatino Linotype" w:hAnsi="Palatino Linotype" w:cs="Arial"/>
          <w:sz w:val="24"/>
          <w:szCs w:val="24"/>
        </w:rPr>
      </w:pPr>
      <w:r w:rsidRPr="003D0879">
        <w:rPr>
          <w:rFonts w:ascii="Palatino Linotype" w:hAnsi="Palatino Linotype" w:cs="Arial"/>
          <w:sz w:val="24"/>
          <w:szCs w:val="24"/>
        </w:rPr>
        <w:t xml:space="preserve">Ratificando su respuesta, en relación a que no se encuentra obligado a contar con dichas carpetas en medio electrónico que permita su entrega en la modalidad elegida por el solicitante además de que tampoco se encuentra constreñido a procesar la </w:t>
      </w:r>
      <w:r w:rsidRPr="003D0879">
        <w:rPr>
          <w:rFonts w:ascii="Palatino Linotype" w:hAnsi="Palatino Linotype" w:cs="Arial"/>
          <w:sz w:val="24"/>
          <w:szCs w:val="24"/>
        </w:rPr>
        <w:lastRenderedPageBreak/>
        <w:t>información conforme al interés del particular argumentando que son 215 hojas las que componen las carpetas de las sesiones ordinarias del Comité Interno de Mejora Regulatoria de la 14 a la 24; por lo que, requiere el pago de la cantidad de $129.00 (Ciento veintinueve pesos 00/100 M.N.), por concepto de escaneo y digitalización de cada hoja y previa la acreditación del mismo se procedería a su entrega vía SAIMEX.</w:t>
      </w:r>
    </w:p>
    <w:p w:rsidR="003D0879" w:rsidRPr="003D0879" w:rsidRDefault="003D0879" w:rsidP="003D0879">
      <w:pPr>
        <w:tabs>
          <w:tab w:val="left" w:pos="8647"/>
        </w:tabs>
        <w:spacing w:before="100" w:beforeAutospacing="1" w:after="100" w:afterAutospacing="1" w:line="360" w:lineRule="auto"/>
        <w:ind w:right="51"/>
        <w:jc w:val="both"/>
        <w:rPr>
          <w:rFonts w:ascii="Palatino Linotype" w:hAnsi="Palatino Linotype" w:cs="Arial"/>
          <w:sz w:val="24"/>
          <w:szCs w:val="24"/>
        </w:rPr>
      </w:pPr>
      <w:r w:rsidRPr="003D0879">
        <w:rPr>
          <w:rFonts w:ascii="Palatino Linotype" w:hAnsi="Palatino Linotype" w:cs="Arial"/>
          <w:sz w:val="24"/>
          <w:szCs w:val="24"/>
        </w:rPr>
        <w:t>Finalmente, insistió en que respecto de la carpeta de la Sesión Ordinaria número 25 del Comité Interno de Mejora Regulatoria, no se encuentra en los archivos de la Dirección en comento pues de conformidad con el calendario de Sesiones se llevaría a cabo el 13 de diciembre de 2018, es decir, a la fecha de presentación de las solicitudes de información aún no se realizaba la sesión de la que se requiere la información.</w:t>
      </w:r>
    </w:p>
    <w:p w:rsidR="003D0879" w:rsidRDefault="00CF26AD" w:rsidP="008426B8">
      <w:pPr>
        <w:spacing w:after="0" w:line="360" w:lineRule="auto"/>
        <w:jc w:val="both"/>
        <w:rPr>
          <w:rFonts w:ascii="Palatino Linotype" w:hAnsi="Palatino Linotype" w:cs="Arial"/>
          <w:lang w:val="es-ES_tradnl"/>
        </w:rPr>
      </w:pPr>
      <w:r>
        <w:rPr>
          <w:rFonts w:ascii="Palatino Linotype" w:hAnsi="Palatino Linotype" w:cs="Arial"/>
          <w:lang w:val="es-ES_tradnl"/>
        </w:rPr>
        <w:t>Así, la ponencia considera que con la información remitida con posterioridad a su respuesta, el SUJETO BOLIGADO deja sin materia inconformidades diversas “…</w:t>
      </w:r>
      <w:r w:rsidRPr="00CF26AD">
        <w:rPr>
          <w:rFonts w:ascii="Palatino Linotype" w:hAnsi="Palatino Linotype"/>
          <w:i/>
        </w:rPr>
        <w:t xml:space="preserve">Se </w:t>
      </w:r>
      <w:r w:rsidRPr="00CF26AD">
        <w:rPr>
          <w:rFonts w:ascii="Palatino Linotype" w:hAnsi="Palatino Linotype"/>
          <w:b/>
          <w:i/>
        </w:rPr>
        <w:t>SOBRESEEN</w:t>
      </w:r>
      <w:r w:rsidRPr="00CF26AD">
        <w:rPr>
          <w:rFonts w:ascii="Palatino Linotype" w:hAnsi="Palatino Linotype"/>
          <w:i/>
        </w:rPr>
        <w:t xml:space="preserve"> los recursos de revisión números </w:t>
      </w:r>
      <w:r w:rsidRPr="00CF26AD">
        <w:rPr>
          <w:rFonts w:ascii="Palatino Linotype" w:hAnsi="Palatino Linotype" w:cs="Arial"/>
          <w:b/>
          <w:i/>
          <w:spacing w:val="-20"/>
        </w:rPr>
        <w:t>03954/</w:t>
      </w:r>
      <w:r w:rsidRPr="00CF26AD">
        <w:rPr>
          <w:rFonts w:ascii="Palatino Linotype" w:hAnsi="Palatino Linotype" w:cs="Arial"/>
          <w:b/>
          <w:bCs/>
          <w:i/>
          <w:spacing w:val="-20"/>
        </w:rPr>
        <w:t>INFOEM/IP/RR/2018</w:t>
      </w:r>
      <w:r w:rsidRPr="00CF26AD">
        <w:rPr>
          <w:rFonts w:ascii="Palatino Linotype" w:hAnsi="Palatino Linotype" w:cs="Arial"/>
          <w:bCs/>
          <w:i/>
          <w:spacing w:val="-20"/>
        </w:rPr>
        <w:t xml:space="preserve">  y  </w:t>
      </w:r>
      <w:r w:rsidRPr="00CF26AD">
        <w:rPr>
          <w:rFonts w:ascii="Palatino Linotype" w:hAnsi="Palatino Linotype" w:cs="Arial"/>
          <w:b/>
          <w:i/>
          <w:spacing w:val="-20"/>
        </w:rPr>
        <w:t>03955/</w:t>
      </w:r>
      <w:r w:rsidRPr="00CF26AD">
        <w:rPr>
          <w:rFonts w:ascii="Palatino Linotype" w:hAnsi="Palatino Linotype" w:cs="Arial"/>
          <w:b/>
          <w:bCs/>
          <w:i/>
          <w:spacing w:val="-20"/>
        </w:rPr>
        <w:t>INFOEM/IP/RR/2018</w:t>
      </w:r>
      <w:r w:rsidRPr="00CF26AD">
        <w:rPr>
          <w:rFonts w:ascii="Palatino Linotype" w:hAnsi="Palatino Linotype"/>
          <w:i/>
        </w:rPr>
        <w:t xml:space="preserve">, </w:t>
      </w:r>
      <w:r w:rsidRPr="00CF26AD">
        <w:rPr>
          <w:rFonts w:ascii="Palatino Linotype" w:hAnsi="Palatino Linotype"/>
          <w:b/>
          <w:i/>
        </w:rPr>
        <w:t>porque al modificar la respuesta los recursos de revisión quedaron sin materia</w:t>
      </w:r>
      <w:r w:rsidRPr="00CF26AD">
        <w:rPr>
          <w:rFonts w:ascii="Palatino Linotype" w:hAnsi="Palatino Linotype"/>
          <w:i/>
        </w:rPr>
        <w:t xml:space="preserve"> en términos del  Considerando </w:t>
      </w:r>
      <w:r w:rsidRPr="00CF26AD">
        <w:rPr>
          <w:rFonts w:ascii="Palatino Linotype" w:hAnsi="Palatino Linotype"/>
          <w:b/>
          <w:i/>
        </w:rPr>
        <w:t>SEXTO</w:t>
      </w:r>
      <w:r w:rsidRPr="00CF26AD">
        <w:rPr>
          <w:rFonts w:ascii="Palatino Linotype" w:hAnsi="Palatino Linotype"/>
          <w:i/>
        </w:rPr>
        <w:t xml:space="preserve"> de la presente resolución</w:t>
      </w:r>
      <w:r w:rsidRPr="00304307">
        <w:rPr>
          <w:rFonts w:ascii="Palatino Linotype" w:hAnsi="Palatino Linotype"/>
        </w:rPr>
        <w:t>.</w:t>
      </w:r>
      <w:r>
        <w:rPr>
          <w:rFonts w:ascii="Palatino Linotype" w:hAnsi="Palatino Linotype" w:cs="Arial"/>
          <w:lang w:val="es-ES_tradnl"/>
        </w:rPr>
        <w:t>”</w:t>
      </w:r>
    </w:p>
    <w:p w:rsidR="007F3D01" w:rsidRDefault="007F3D01" w:rsidP="008426B8">
      <w:pPr>
        <w:spacing w:after="0" w:line="360" w:lineRule="auto"/>
        <w:jc w:val="both"/>
        <w:rPr>
          <w:rFonts w:ascii="Palatino Linotype" w:hAnsi="Palatino Linotype" w:cs="Arial"/>
          <w:lang w:val="es-ES_tradnl"/>
        </w:rPr>
      </w:pPr>
    </w:p>
    <w:p w:rsidR="00247F8A" w:rsidRPr="00E94B87" w:rsidRDefault="008426B8" w:rsidP="00167FBA">
      <w:pPr>
        <w:spacing w:before="240" w:line="360" w:lineRule="auto"/>
        <w:contextualSpacing/>
        <w:jc w:val="both"/>
        <w:rPr>
          <w:rFonts w:ascii="Palatino Linotype" w:hAnsi="Palatino Linotype" w:cs="Arial"/>
          <w:bCs/>
          <w:sz w:val="24"/>
          <w:szCs w:val="24"/>
        </w:rPr>
      </w:pPr>
      <w:r w:rsidRPr="00E94B87">
        <w:rPr>
          <w:rFonts w:ascii="Palatino Linotype" w:hAnsi="Palatino Linotype"/>
          <w:sz w:val="24"/>
          <w:szCs w:val="24"/>
        </w:rPr>
        <w:t xml:space="preserve">De lo anterior, debe precisarse que si bien se comparte en términos generales el sentido de la resolución, empero a consideración del suscrito </w:t>
      </w:r>
      <w:r w:rsidR="00167FBA" w:rsidRPr="00E94B87">
        <w:rPr>
          <w:rFonts w:ascii="Palatino Linotype" w:hAnsi="Palatino Linotype" w:cs="Arial"/>
          <w:bCs/>
          <w:sz w:val="24"/>
          <w:szCs w:val="24"/>
        </w:rPr>
        <w:t xml:space="preserve">en el proyecto se advierte una serie de inconsistencias, mismas que </w:t>
      </w:r>
      <w:r w:rsidR="00247F8A" w:rsidRPr="00E94B87">
        <w:rPr>
          <w:rFonts w:ascii="Palatino Linotype" w:hAnsi="Palatino Linotype" w:cs="Arial"/>
          <w:bCs/>
          <w:sz w:val="24"/>
          <w:szCs w:val="24"/>
        </w:rPr>
        <w:t>a continuación hare mención:</w:t>
      </w:r>
    </w:p>
    <w:p w:rsidR="00F93005" w:rsidRPr="0073319C" w:rsidRDefault="0073319C" w:rsidP="00F93005">
      <w:pPr>
        <w:spacing w:before="240" w:line="360" w:lineRule="auto"/>
        <w:contextualSpacing/>
        <w:jc w:val="both"/>
        <w:rPr>
          <w:rFonts w:ascii="Palatino Linotype" w:hAnsi="Palatino Linotype" w:cs="Arial"/>
          <w:sz w:val="24"/>
          <w:szCs w:val="24"/>
        </w:rPr>
      </w:pPr>
      <w:r w:rsidRPr="0073319C">
        <w:rPr>
          <w:rFonts w:ascii="Palatino Linotype" w:hAnsi="Palatino Linotype" w:cs="Arial"/>
          <w:sz w:val="24"/>
          <w:szCs w:val="24"/>
        </w:rPr>
        <w:lastRenderedPageBreak/>
        <w:t>E</w:t>
      </w:r>
      <w:r w:rsidR="00B71818" w:rsidRPr="0073319C">
        <w:rPr>
          <w:rFonts w:ascii="Palatino Linotype" w:hAnsi="Palatino Linotype" w:cs="Arial"/>
          <w:sz w:val="24"/>
          <w:szCs w:val="24"/>
        </w:rPr>
        <w:t>s conveniente referir, que del análisis realizado a las constancias que integran el expediente electrónico del recurso de revisión al rubro indicado se aprecia que con la información proporcionada por el Sujeto Obligado se modifica la respuesta emitida</w:t>
      </w:r>
      <w:r w:rsidR="00F93005" w:rsidRPr="0073319C">
        <w:rPr>
          <w:rFonts w:ascii="Palatino Linotype" w:hAnsi="Palatino Linotype" w:cs="Arial"/>
          <w:sz w:val="24"/>
          <w:szCs w:val="24"/>
        </w:rPr>
        <w:t>, razón por la cual debió ponerse a la vista del recurrente para que manifestara lo que a su derecho corresponda antes de resolver el recurso, tal y como lo indica el artículo 185 fracción III de la Ley de Transparencia y Acceso a la Información Pública del Estado de México y Municipios, que a continuación se inserta:</w:t>
      </w:r>
    </w:p>
    <w:p w:rsidR="00F93005" w:rsidRPr="00B36104" w:rsidRDefault="00F93005" w:rsidP="00F93005">
      <w:pPr>
        <w:spacing w:before="240" w:after="240" w:line="240" w:lineRule="auto"/>
        <w:ind w:left="567" w:right="616"/>
        <w:contextualSpacing/>
        <w:jc w:val="both"/>
        <w:rPr>
          <w:rFonts w:ascii="Palatino Linotype" w:hAnsi="Palatino Linotype"/>
          <w:i/>
          <w:color w:val="FF0000"/>
        </w:rPr>
      </w:pPr>
    </w:p>
    <w:p w:rsidR="00F93005" w:rsidRPr="0073319C" w:rsidRDefault="00F93005" w:rsidP="00F93005">
      <w:pPr>
        <w:spacing w:before="240" w:after="240" w:line="240" w:lineRule="auto"/>
        <w:ind w:left="567" w:right="616"/>
        <w:contextualSpacing/>
        <w:jc w:val="both"/>
        <w:rPr>
          <w:rFonts w:ascii="Palatino Linotype" w:hAnsi="Palatino Linotype"/>
          <w:i/>
        </w:rPr>
      </w:pPr>
      <w:r w:rsidRPr="0073319C">
        <w:rPr>
          <w:rFonts w:ascii="Palatino Linotype" w:hAnsi="Palatino Linotype"/>
          <w:b/>
          <w:i/>
        </w:rPr>
        <w:t>“Artículo 185.</w:t>
      </w:r>
      <w:r w:rsidRPr="0073319C">
        <w:rPr>
          <w:rFonts w:ascii="Palatino Linotype" w:hAnsi="Palatino Linotype"/>
          <w:i/>
        </w:rPr>
        <w:t xml:space="preserve"> </w:t>
      </w:r>
      <w:r w:rsidRPr="0073319C">
        <w:rPr>
          <w:rFonts w:ascii="Palatino Linotype" w:hAnsi="Palatino Linotype"/>
          <w:b/>
          <w:i/>
          <w:u w:val="single"/>
        </w:rPr>
        <w:t>El Instituto resolverá el recurso de revisión</w:t>
      </w:r>
      <w:r w:rsidRPr="0073319C">
        <w:rPr>
          <w:rFonts w:ascii="Palatino Linotype" w:hAnsi="Palatino Linotype"/>
          <w:i/>
        </w:rPr>
        <w:t xml:space="preserve"> conforme a lo siguiente:</w:t>
      </w:r>
    </w:p>
    <w:p w:rsidR="00F93005" w:rsidRPr="0073319C" w:rsidRDefault="00F93005" w:rsidP="00F93005">
      <w:pPr>
        <w:spacing w:before="240" w:after="240" w:line="240" w:lineRule="auto"/>
        <w:ind w:left="567" w:right="616"/>
        <w:contextualSpacing/>
        <w:jc w:val="both"/>
        <w:rPr>
          <w:rFonts w:ascii="Palatino Linotype" w:hAnsi="Palatino Linotype"/>
          <w:i/>
        </w:rPr>
      </w:pPr>
      <w:r w:rsidRPr="0073319C">
        <w:rPr>
          <w:rFonts w:ascii="Palatino Linotype" w:hAnsi="Palatino Linotype"/>
          <w:i/>
        </w:rPr>
        <w:t>…</w:t>
      </w:r>
    </w:p>
    <w:p w:rsidR="00F93005" w:rsidRPr="0073319C" w:rsidRDefault="00F93005" w:rsidP="00F93005">
      <w:pPr>
        <w:spacing w:before="240" w:after="240" w:line="240" w:lineRule="auto"/>
        <w:ind w:left="567" w:right="616"/>
        <w:contextualSpacing/>
        <w:jc w:val="both"/>
        <w:rPr>
          <w:rFonts w:ascii="Palatino Linotype" w:hAnsi="Palatino Linotype" w:cs="Arial"/>
          <w:i/>
          <w:sz w:val="24"/>
          <w:szCs w:val="24"/>
        </w:rPr>
      </w:pPr>
      <w:r w:rsidRPr="0073319C">
        <w:rPr>
          <w:rFonts w:ascii="Palatino Linotype" w:hAnsi="Palatino Linotype"/>
          <w:b/>
          <w:i/>
        </w:rPr>
        <w:t>III.</w:t>
      </w:r>
      <w:r w:rsidRPr="0073319C">
        <w:rPr>
          <w:rFonts w:ascii="Palatino Linotype" w:hAnsi="Palatino Linotype"/>
          <w:i/>
        </w:rPr>
        <w:t xml:space="preserve"> </w:t>
      </w:r>
      <w:r w:rsidRPr="0073319C">
        <w:rPr>
          <w:rFonts w:ascii="Palatino Linotype" w:hAnsi="Palatino Linotype"/>
          <w:b/>
          <w:i/>
          <w:u w:val="single"/>
        </w:rPr>
        <w:t>Recibido el informe justificado, cuando se modifique la respuesta, este se pondrá a disposición del recurrente para que en un plazo de tres días hábiles, manifieste lo que a su derecho convenga</w:t>
      </w:r>
      <w:r w:rsidRPr="0073319C">
        <w:rPr>
          <w:rFonts w:ascii="Palatino Linotype" w:hAnsi="Palatino Linotype"/>
          <w:i/>
        </w:rPr>
        <w:t>;..(Sic)</w:t>
      </w:r>
    </w:p>
    <w:p w:rsidR="00F93005" w:rsidRPr="00B36104" w:rsidRDefault="00F93005" w:rsidP="00F93005">
      <w:pPr>
        <w:spacing w:before="240" w:after="240" w:line="360" w:lineRule="auto"/>
        <w:jc w:val="both"/>
        <w:rPr>
          <w:rFonts w:ascii="Palatino Linotype" w:hAnsi="Palatino Linotype" w:cs="Arial"/>
          <w:b/>
          <w:color w:val="FF0000"/>
          <w:sz w:val="24"/>
          <w:szCs w:val="24"/>
        </w:rPr>
      </w:pPr>
    </w:p>
    <w:p w:rsidR="006A496E" w:rsidRPr="0073319C" w:rsidRDefault="00F93005" w:rsidP="006A496E">
      <w:pPr>
        <w:spacing w:before="240" w:after="240" w:line="360" w:lineRule="auto"/>
        <w:jc w:val="both"/>
        <w:rPr>
          <w:rFonts w:ascii="Palatino Linotype" w:hAnsi="Palatino Linotype" w:cs="Arial"/>
          <w:sz w:val="24"/>
          <w:szCs w:val="24"/>
        </w:rPr>
      </w:pPr>
      <w:r w:rsidRPr="0073319C">
        <w:rPr>
          <w:rFonts w:ascii="Palatino Linotype" w:hAnsi="Palatino Linotype" w:cs="Arial"/>
          <w:sz w:val="24"/>
          <w:szCs w:val="24"/>
        </w:rPr>
        <w:t>Del dispositivo legal referido se advierte claramente que cuando la información proporcionada por el Sujeto Obligado al momento de rendir informe justificado modifique la respuesta primigenia, es obligación de este Instituto ponerla a disposición del recurrente para que realice las manifestaciones que a su derecho convenga, circunstancia que en el presente asunto no sucedi</w:t>
      </w:r>
      <w:r w:rsidR="004C307B" w:rsidRPr="0073319C">
        <w:rPr>
          <w:rFonts w:ascii="Palatino Linotype" w:hAnsi="Palatino Linotype" w:cs="Arial"/>
          <w:sz w:val="24"/>
          <w:szCs w:val="24"/>
        </w:rPr>
        <w:t xml:space="preserve">ó, dicho actuar limita y deja en estado de indefensión al impetrante, se afirma lo anterior, en virtud de que si bien es cierto la información en comento fue tomada en cuenta por la ponencia resolutora, sin embargo no se le dio la oportunidad de que realizara las manifestaciones que conforme a sus intereses estimara pertinentes, lo anterior para </w:t>
      </w:r>
      <w:r w:rsidR="004C307B" w:rsidRPr="0073319C">
        <w:rPr>
          <w:rFonts w:ascii="Palatino Linotype" w:hAnsi="Palatino Linotype" w:cs="Arial"/>
          <w:sz w:val="24"/>
          <w:szCs w:val="24"/>
        </w:rPr>
        <w:lastRenderedPageBreak/>
        <w:t xml:space="preserve">dar estricto cumplimiento a lo que mandata el </w:t>
      </w:r>
      <w:r w:rsidR="006A496E" w:rsidRPr="0073319C">
        <w:rPr>
          <w:rFonts w:ascii="Palatino Linotype" w:hAnsi="Palatino Linotype" w:cs="Arial"/>
          <w:sz w:val="24"/>
          <w:szCs w:val="24"/>
        </w:rPr>
        <w:t xml:space="preserve">artículo en estudio, y así tener la certeza de que la </w:t>
      </w:r>
      <w:r w:rsidRPr="0073319C">
        <w:rPr>
          <w:rFonts w:ascii="Palatino Linotype" w:hAnsi="Palatino Linotype" w:cs="Arial"/>
          <w:sz w:val="24"/>
          <w:szCs w:val="24"/>
        </w:rPr>
        <w:t xml:space="preserve">resolución </w:t>
      </w:r>
      <w:r w:rsidR="006A496E" w:rsidRPr="0073319C">
        <w:rPr>
          <w:rFonts w:ascii="Palatino Linotype" w:hAnsi="Palatino Linotype" w:cs="Arial"/>
          <w:sz w:val="24"/>
          <w:szCs w:val="24"/>
        </w:rPr>
        <w:t xml:space="preserve">materia del presente voto se emitió </w:t>
      </w:r>
      <w:r w:rsidRPr="0073319C">
        <w:rPr>
          <w:rFonts w:ascii="Palatino Linotype" w:hAnsi="Palatino Linotype" w:cs="Arial"/>
          <w:sz w:val="24"/>
          <w:szCs w:val="24"/>
        </w:rPr>
        <w:t>conforme a derecho; máxime que este Instituto de Transparencia, es el Órgano público estatal constitucionalmente autónomo, especializado, independiente, imparcial y colegiado, responsable de garantizar tanto el derecho de acceso a la información pública y la protección de datos personales en posesión de los sujetos obligados; lo cual, lo faculta para establecer la determinaciones necesarias tendientes a satisfacer el Derecho de Acceso a la Información de los gobernados en observancia de los principios de publicidad, certeza, eficacia, legalidad, objetividad, profesionalismo, simplicidad, rapidez y transparencia ya mencionados; como así se lo permite la fracción II del artículo 2 de la Ley de Transparencia y Acceso a la Información Pública del Estado de México y Municipios, prevé que son objetivos de la misma proveer lo necesario para garantizar a toda persona el derecho de acceso a la información pública, a través de procedimientos sencillos, expeditos, oportunos y gratuitos</w:t>
      </w:r>
      <w:r w:rsidR="006A496E" w:rsidRPr="0073319C">
        <w:rPr>
          <w:rFonts w:ascii="Palatino Linotype" w:hAnsi="Palatino Linotype" w:cs="Arial"/>
          <w:sz w:val="24"/>
          <w:szCs w:val="24"/>
        </w:rPr>
        <w:t>.</w:t>
      </w:r>
    </w:p>
    <w:p w:rsidR="002147F4" w:rsidRDefault="00A216FA" w:rsidP="006A496E">
      <w:pPr>
        <w:spacing w:before="240" w:after="240" w:line="360" w:lineRule="auto"/>
        <w:jc w:val="both"/>
        <w:rPr>
          <w:rFonts w:ascii="Palatino Linotype" w:hAnsi="Palatino Linotype" w:cs="Arial"/>
          <w:sz w:val="23"/>
          <w:szCs w:val="23"/>
        </w:rPr>
      </w:pPr>
      <w:r w:rsidRPr="002147F4">
        <w:rPr>
          <w:rFonts w:ascii="Palatino Linotype" w:hAnsi="Palatino Linotype" w:cs="Arial"/>
          <w:sz w:val="23"/>
          <w:szCs w:val="23"/>
        </w:rPr>
        <w:t>Del mismo modo debo referir, que si bien es ci</w:t>
      </w:r>
      <w:r w:rsidR="002147F4">
        <w:rPr>
          <w:rFonts w:ascii="Palatino Linotype" w:hAnsi="Palatino Linotype" w:cs="Arial"/>
          <w:sz w:val="23"/>
          <w:szCs w:val="23"/>
        </w:rPr>
        <w:t>erto en la resolución se detalló</w:t>
      </w:r>
      <w:r w:rsidRPr="002147F4">
        <w:rPr>
          <w:rFonts w:ascii="Palatino Linotype" w:hAnsi="Palatino Linotype" w:cs="Arial"/>
          <w:sz w:val="23"/>
          <w:szCs w:val="23"/>
        </w:rPr>
        <w:t xml:space="preserve"> el contenido del informe justificado, </w:t>
      </w:r>
      <w:r w:rsidR="002147F4">
        <w:rPr>
          <w:rFonts w:ascii="Palatino Linotype" w:hAnsi="Palatino Linotype" w:cs="Arial"/>
          <w:sz w:val="23"/>
          <w:szCs w:val="23"/>
        </w:rPr>
        <w:t xml:space="preserve"> así como su puesta a disposición  al particular se deja en desventaja jurídica pues éste ya no se encuentra en posibilidad de realizar manifestaciones tendientes a contradecir las documentales que la ponencia consideró para que los medios de defensa quedan sin materia. </w:t>
      </w:r>
    </w:p>
    <w:p w:rsidR="002147F4" w:rsidRDefault="002147F4" w:rsidP="006A496E">
      <w:pPr>
        <w:spacing w:before="240" w:after="240" w:line="360" w:lineRule="auto"/>
        <w:jc w:val="both"/>
        <w:rPr>
          <w:rFonts w:ascii="Palatino Linotype" w:hAnsi="Palatino Linotype" w:cs="Arial"/>
          <w:sz w:val="23"/>
          <w:szCs w:val="23"/>
        </w:rPr>
      </w:pPr>
    </w:p>
    <w:p w:rsidR="00167FBA" w:rsidRPr="006E34B1" w:rsidRDefault="00F93005" w:rsidP="00A216FA">
      <w:pPr>
        <w:spacing w:before="240" w:after="240" w:line="360" w:lineRule="auto"/>
        <w:jc w:val="both"/>
        <w:rPr>
          <w:rFonts w:ascii="Palatino Linotype" w:hAnsi="Palatino Linotype" w:cs="Arial"/>
          <w:sz w:val="24"/>
          <w:szCs w:val="24"/>
        </w:rPr>
      </w:pPr>
      <w:r w:rsidRPr="006E34B1">
        <w:rPr>
          <w:rFonts w:ascii="Palatino Linotype" w:eastAsia="Times New Roman" w:hAnsi="Palatino Linotype" w:cs="Times New Roman"/>
          <w:sz w:val="24"/>
          <w:szCs w:val="24"/>
          <w:lang w:val="es-ES_tradnl" w:eastAsia="es-ES"/>
        </w:rPr>
        <w:lastRenderedPageBreak/>
        <w:t xml:space="preserve">En </w:t>
      </w:r>
      <w:r w:rsidR="006A496E" w:rsidRPr="006E34B1">
        <w:rPr>
          <w:rFonts w:ascii="Palatino Linotype" w:eastAsia="Times New Roman" w:hAnsi="Palatino Linotype" w:cs="Times New Roman"/>
          <w:sz w:val="24"/>
          <w:szCs w:val="24"/>
          <w:lang w:val="es-ES_tradnl" w:eastAsia="es-ES"/>
        </w:rPr>
        <w:t xml:space="preserve">conclusión debe mencionarse que es Obligación de este Órgano Garante garantizar y vigilar la atención del derecho de acceso a la información pública, y en el caso específico analizar cada una de las constancias que obran en el sistema electrónico SAIMEX, dando voz y voto al recurrente sobre las constancias que remita el Sujeto Obligado </w:t>
      </w:r>
      <w:r w:rsidR="00A216FA" w:rsidRPr="006E34B1">
        <w:rPr>
          <w:rFonts w:ascii="Palatino Linotype" w:eastAsia="Times New Roman" w:hAnsi="Palatino Linotype" w:cs="Times New Roman"/>
          <w:sz w:val="24"/>
          <w:szCs w:val="24"/>
          <w:lang w:val="es-ES_tradnl" w:eastAsia="es-ES"/>
        </w:rPr>
        <w:t xml:space="preserve">y </w:t>
      </w:r>
      <w:r w:rsidR="006A496E" w:rsidRPr="006E34B1">
        <w:rPr>
          <w:rFonts w:ascii="Palatino Linotype" w:eastAsia="Times New Roman" w:hAnsi="Palatino Linotype" w:cs="Times New Roman"/>
          <w:sz w:val="24"/>
          <w:szCs w:val="24"/>
          <w:lang w:val="es-ES_tradnl" w:eastAsia="es-ES"/>
        </w:rPr>
        <w:t xml:space="preserve">que tengan relación </w:t>
      </w:r>
      <w:r w:rsidR="00A216FA" w:rsidRPr="006E34B1">
        <w:rPr>
          <w:rFonts w:ascii="Palatino Linotype" w:eastAsia="Times New Roman" w:hAnsi="Palatino Linotype" w:cs="Times New Roman"/>
          <w:sz w:val="24"/>
          <w:szCs w:val="24"/>
          <w:lang w:val="es-ES_tradnl" w:eastAsia="es-ES"/>
        </w:rPr>
        <w:t xml:space="preserve">con su(s) requerimiento(s) </w:t>
      </w:r>
      <w:r w:rsidR="006A496E" w:rsidRPr="006E34B1">
        <w:rPr>
          <w:rFonts w:ascii="Palatino Linotype" w:eastAsia="Times New Roman" w:hAnsi="Palatino Linotype" w:cs="Times New Roman"/>
          <w:sz w:val="24"/>
          <w:szCs w:val="24"/>
          <w:lang w:val="es-ES_tradnl" w:eastAsia="es-ES"/>
        </w:rPr>
        <w:t>y así darle un mejor cauce a la resolución resaltándola de un mejor derecho aplicable, debidamente fundado y motivado.</w:t>
      </w:r>
    </w:p>
    <w:p w:rsidR="008426B8" w:rsidRPr="006E34B1" w:rsidRDefault="008426B8" w:rsidP="008426B8">
      <w:pPr>
        <w:spacing w:before="120" w:after="240" w:line="360" w:lineRule="auto"/>
        <w:jc w:val="both"/>
        <w:rPr>
          <w:rFonts w:ascii="Palatino Linotype" w:hAnsi="Palatino Linotype"/>
          <w:sz w:val="24"/>
          <w:szCs w:val="24"/>
        </w:rPr>
      </w:pPr>
      <w:r w:rsidRPr="006E34B1">
        <w:rPr>
          <w:rFonts w:ascii="Palatino Linotype" w:hAnsi="Palatino Linotype"/>
          <w:sz w:val="24"/>
          <w:szCs w:val="24"/>
        </w:rPr>
        <w:t xml:space="preserve">Lo anterior, son razones suficientes para la emisión y presentación del presente Voto Particular relacionado con la resolución del recurso de revisión referido. </w:t>
      </w:r>
    </w:p>
    <w:p w:rsidR="008426B8" w:rsidRPr="00B36104" w:rsidRDefault="008426B8" w:rsidP="008426B8">
      <w:pPr>
        <w:spacing w:after="0" w:line="240" w:lineRule="auto"/>
        <w:jc w:val="center"/>
        <w:rPr>
          <w:rFonts w:ascii="Palatino Linotype" w:hAnsi="Palatino Linotype"/>
          <w:b/>
          <w:color w:val="FF0000"/>
          <w:sz w:val="24"/>
          <w:szCs w:val="24"/>
        </w:rPr>
      </w:pPr>
    </w:p>
    <w:p w:rsidR="008426B8" w:rsidRPr="00B36104" w:rsidRDefault="008426B8" w:rsidP="008426B8">
      <w:pPr>
        <w:spacing w:after="0" w:line="240" w:lineRule="auto"/>
        <w:jc w:val="center"/>
        <w:rPr>
          <w:rFonts w:ascii="Palatino Linotype" w:hAnsi="Palatino Linotype"/>
          <w:b/>
          <w:color w:val="FF0000"/>
          <w:sz w:val="24"/>
          <w:szCs w:val="24"/>
        </w:rPr>
      </w:pPr>
    </w:p>
    <w:p w:rsidR="008426B8" w:rsidRPr="00B36104" w:rsidRDefault="008426B8" w:rsidP="008426B8">
      <w:pPr>
        <w:spacing w:after="0" w:line="240" w:lineRule="auto"/>
        <w:jc w:val="center"/>
        <w:rPr>
          <w:rFonts w:ascii="Palatino Linotype" w:hAnsi="Palatino Linotype"/>
          <w:b/>
          <w:color w:val="FF0000"/>
          <w:sz w:val="24"/>
          <w:szCs w:val="24"/>
        </w:rPr>
      </w:pPr>
    </w:p>
    <w:p w:rsidR="008426B8" w:rsidRPr="00B36104" w:rsidRDefault="008426B8" w:rsidP="008426B8">
      <w:pPr>
        <w:spacing w:after="0" w:line="240" w:lineRule="auto"/>
        <w:jc w:val="center"/>
        <w:rPr>
          <w:rFonts w:ascii="Palatino Linotype" w:hAnsi="Palatino Linotype"/>
          <w:b/>
          <w:color w:val="FF0000"/>
          <w:sz w:val="24"/>
          <w:szCs w:val="24"/>
        </w:rPr>
      </w:pPr>
    </w:p>
    <w:p w:rsidR="008426B8" w:rsidRPr="00B36104" w:rsidRDefault="008426B8" w:rsidP="008426B8">
      <w:pPr>
        <w:spacing w:after="0" w:line="240" w:lineRule="auto"/>
        <w:jc w:val="center"/>
        <w:rPr>
          <w:rFonts w:ascii="Palatino Linotype" w:hAnsi="Palatino Linotype"/>
          <w:b/>
          <w:color w:val="FF0000"/>
          <w:sz w:val="24"/>
          <w:szCs w:val="24"/>
        </w:rPr>
      </w:pPr>
    </w:p>
    <w:p w:rsidR="008426B8" w:rsidRPr="006E34B1" w:rsidRDefault="008426B8" w:rsidP="008426B8">
      <w:pPr>
        <w:spacing w:after="0" w:line="240" w:lineRule="auto"/>
        <w:jc w:val="center"/>
        <w:rPr>
          <w:rFonts w:ascii="Palatino Linotype" w:hAnsi="Palatino Linotype"/>
          <w:b/>
          <w:sz w:val="24"/>
          <w:szCs w:val="24"/>
        </w:rPr>
      </w:pPr>
      <w:r w:rsidRPr="006E34B1">
        <w:rPr>
          <w:rFonts w:ascii="Palatino Linotype" w:hAnsi="Palatino Linotype"/>
          <w:b/>
          <w:sz w:val="24"/>
          <w:szCs w:val="24"/>
        </w:rPr>
        <w:t>Javier Martínez Cruz</w:t>
      </w:r>
    </w:p>
    <w:p w:rsidR="00DF7B62" w:rsidRDefault="008426B8" w:rsidP="00A216FA">
      <w:pPr>
        <w:spacing w:after="0" w:line="240" w:lineRule="auto"/>
        <w:jc w:val="center"/>
        <w:rPr>
          <w:rFonts w:ascii="Palatino Linotype" w:hAnsi="Palatino Linotype"/>
          <w:b/>
          <w:sz w:val="24"/>
          <w:szCs w:val="24"/>
        </w:rPr>
      </w:pPr>
      <w:r w:rsidRPr="006E34B1">
        <w:rPr>
          <w:rFonts w:ascii="Palatino Linotype" w:hAnsi="Palatino Linotype"/>
          <w:b/>
          <w:sz w:val="24"/>
          <w:szCs w:val="24"/>
        </w:rPr>
        <w:t>Comisionado</w:t>
      </w:r>
    </w:p>
    <w:p w:rsidR="006E34B1" w:rsidRPr="006E34B1" w:rsidRDefault="006E34B1" w:rsidP="00A216FA">
      <w:pPr>
        <w:spacing w:after="0" w:line="240" w:lineRule="auto"/>
        <w:jc w:val="center"/>
        <w:rPr>
          <w:rFonts w:ascii="Palatino Linotype" w:hAnsi="Palatino Linotype"/>
          <w:b/>
          <w:sz w:val="24"/>
          <w:szCs w:val="24"/>
        </w:rPr>
      </w:pPr>
      <w:r>
        <w:rPr>
          <w:rFonts w:ascii="Palatino Linotype" w:hAnsi="Palatino Linotype"/>
          <w:b/>
          <w:sz w:val="24"/>
          <w:szCs w:val="24"/>
        </w:rPr>
        <w:t>(Rúbrica</w:t>
      </w:r>
      <w:bookmarkStart w:id="0" w:name="_GoBack"/>
      <w:bookmarkEnd w:id="0"/>
      <w:r>
        <w:rPr>
          <w:rFonts w:ascii="Palatino Linotype" w:hAnsi="Palatino Linotype"/>
          <w:b/>
          <w:sz w:val="24"/>
          <w:szCs w:val="24"/>
        </w:rPr>
        <w:t>)</w:t>
      </w:r>
    </w:p>
    <w:p w:rsidR="00A216FA" w:rsidRPr="006E34B1" w:rsidRDefault="001E2CFF" w:rsidP="00A216FA">
      <w:pPr>
        <w:spacing w:after="0" w:line="240" w:lineRule="auto"/>
        <w:jc w:val="center"/>
        <w:rPr>
          <w:rFonts w:ascii="Palatino Linotype" w:hAnsi="Palatino Linotype"/>
          <w:b/>
          <w:sz w:val="24"/>
          <w:szCs w:val="24"/>
        </w:rPr>
      </w:pPr>
      <w:r w:rsidRPr="006E34B1">
        <w:rPr>
          <w:rFonts w:ascii="Palatino Linotype" w:hAnsi="Palatino Linotype"/>
          <w:b/>
          <w:sz w:val="24"/>
          <w:szCs w:val="24"/>
        </w:rPr>
        <w:t xml:space="preserve">                                                                                                                                                                                                                                                                                                                                                                                                                                                                                                                                                                                                                                                                                                                                                                                                                                                                                                                                                                                                                                                                                                                                                                                                                                                                                                                                                                                                                                                                                                                                                                                                                                                                                                                                                                                                                                                                                                                                                                                                                                                                                                                                                                                                                                                                                                                                                                                                                                                                                                                                                                                                                                                                                                                                                                                                                                                                                                                                                                                                                                                                              </w:t>
      </w:r>
    </w:p>
    <w:sectPr w:rsidR="00A216FA" w:rsidRPr="006E34B1" w:rsidSect="007F0307">
      <w:headerReference w:type="even" r:id="rId7"/>
      <w:headerReference w:type="default" r:id="rId8"/>
      <w:footerReference w:type="default" r:id="rId9"/>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08A" w:rsidRDefault="0069108A" w:rsidP="008426B8">
      <w:pPr>
        <w:spacing w:after="0" w:line="240" w:lineRule="auto"/>
      </w:pPr>
      <w:r>
        <w:separator/>
      </w:r>
    </w:p>
  </w:endnote>
  <w:endnote w:type="continuationSeparator" w:id="0">
    <w:p w:rsidR="0069108A" w:rsidRDefault="0069108A" w:rsidP="00842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Pr="00986599" w:rsidRDefault="00E8240F"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E34B1">
      <w:rPr>
        <w:rFonts w:ascii="Arial" w:hAnsi="Arial" w:cs="Arial"/>
        <w:b/>
        <w:bCs/>
        <w:noProof/>
        <w:sz w:val="20"/>
        <w:szCs w:val="20"/>
      </w:rPr>
      <w:t>6</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E34B1">
      <w:rPr>
        <w:rFonts w:ascii="Arial" w:hAnsi="Arial" w:cs="Arial"/>
        <w:b/>
        <w:bCs/>
        <w:noProof/>
        <w:sz w:val="20"/>
        <w:szCs w:val="20"/>
      </w:rPr>
      <w:t>7</w:t>
    </w:r>
    <w:r w:rsidRPr="00986599">
      <w:rPr>
        <w:rFonts w:ascii="Arial" w:hAnsi="Arial" w:cs="Arial"/>
        <w:b/>
        <w:bCs/>
        <w:sz w:val="20"/>
        <w:szCs w:val="20"/>
      </w:rPr>
      <w:fldChar w:fldCharType="end"/>
    </w:r>
  </w:p>
  <w:p w:rsidR="007F0307" w:rsidRDefault="006E34B1" w:rsidP="007F0307">
    <w:pPr>
      <w:pStyle w:val="Piedepgina"/>
      <w:jc w:val="right"/>
    </w:pPr>
  </w:p>
  <w:p w:rsidR="003A7B43" w:rsidRDefault="006E34B1"/>
  <w:p w:rsidR="003A7B43" w:rsidRDefault="006E34B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08A" w:rsidRDefault="0069108A" w:rsidP="008426B8">
      <w:pPr>
        <w:spacing w:after="0" w:line="240" w:lineRule="auto"/>
      </w:pPr>
      <w:r>
        <w:separator/>
      </w:r>
    </w:p>
  </w:footnote>
  <w:footnote w:type="continuationSeparator" w:id="0">
    <w:p w:rsidR="0069108A" w:rsidRDefault="0069108A" w:rsidP="008426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E8240F">
    <w:pPr>
      <w:pStyle w:val="Encabezado"/>
    </w:pPr>
    <w:r>
      <w:rPr>
        <w:noProof/>
        <w:lang w:val="es-MX" w:eastAsia="es-MX"/>
      </w:rPr>
      <mc:AlternateContent>
        <mc:Choice Requires="wps">
          <w:drawing>
            <wp:anchor distT="0" distB="0" distL="114300" distR="114300" simplePos="0" relativeHeight="251656704" behindDoc="1" locked="0" layoutInCell="0" allowOverlap="1" wp14:anchorId="11F706C7" wp14:editId="4CCBB9B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0307" w:rsidRDefault="00E8240F"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1F706C7"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F0307" w:rsidRDefault="00E8240F"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p w:rsidR="003A7B43" w:rsidRDefault="006E34B1"/>
  <w:p w:rsidR="003A7B43" w:rsidRDefault="006E34B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E8240F" w:rsidP="007F0307">
    <w:pPr>
      <w:pStyle w:val="Encabezado"/>
      <w:jc w:val="right"/>
      <w:rPr>
        <w:rFonts w:ascii="Arial" w:hAnsi="Arial" w:cs="Arial"/>
        <w:sz w:val="20"/>
        <w:szCs w:val="20"/>
      </w:rPr>
    </w:pPr>
    <w:r>
      <w:rPr>
        <w:noProof/>
        <w:lang w:val="es-MX" w:eastAsia="es-MX"/>
      </w:rPr>
      <w:drawing>
        <wp:anchor distT="0" distB="0" distL="114300" distR="114300" simplePos="0" relativeHeight="251657728" behindDoc="1" locked="0" layoutInCell="1" allowOverlap="1" wp14:anchorId="3E9F7406" wp14:editId="0632D0EA">
          <wp:simplePos x="0" y="0"/>
          <wp:positionH relativeFrom="column">
            <wp:posOffset>-1102834</wp:posOffset>
          </wp:positionH>
          <wp:positionV relativeFrom="paragraph">
            <wp:posOffset>-475283</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986986339"/>
        <w:docPartObj>
          <w:docPartGallery w:val="Watermarks"/>
          <w:docPartUnique/>
        </w:docPartObj>
      </w:sdtPr>
      <w:sdtEndPr/>
      <w:sdtContent>
        <w:r w:rsidR="006E34B1">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944220" o:spid="_x0000_s2049" type="#_x0000_t136" style="position:absolute;left:0;text-align:left;margin-left:0;margin-top:0;width:553.7pt;height:75.5pt;rotation:315;z-index:-251657728;mso-position-horizontal:center;mso-position-horizontal-relative:margin;mso-position-vertical:center;mso-position-vertical-relative:margin" o:allowincell="f" fillcolor="#d8d8d8" stroked="f">
              <v:fill opacity=".5"/>
              <v:textpath style="font-family:&quot;Palatino Linotype&quot;;font-size:1pt" string="VOTO   PARTICULAR"/>
              <w10:wrap anchorx="margin" anchory="margin"/>
            </v:shape>
          </w:pict>
        </w:r>
      </w:sdtContent>
    </w:sdt>
  </w:p>
  <w:p w:rsidR="007F0307" w:rsidRDefault="006E34B1" w:rsidP="007F0307">
    <w:pPr>
      <w:pStyle w:val="Encabezado"/>
      <w:jc w:val="right"/>
      <w:rPr>
        <w:rFonts w:ascii="Arial" w:hAnsi="Arial" w:cs="Arial"/>
        <w:sz w:val="20"/>
        <w:szCs w:val="20"/>
      </w:rPr>
    </w:pPr>
  </w:p>
  <w:p w:rsidR="007F0307" w:rsidRDefault="006E34B1" w:rsidP="007F0307">
    <w:pPr>
      <w:pStyle w:val="Encabezado"/>
      <w:jc w:val="right"/>
      <w:rPr>
        <w:rFonts w:ascii="Arial" w:hAnsi="Arial" w:cs="Arial"/>
        <w:sz w:val="20"/>
        <w:szCs w:val="20"/>
      </w:rPr>
    </w:pPr>
  </w:p>
  <w:p w:rsidR="007F0307" w:rsidRPr="00563D0F" w:rsidRDefault="00E8240F" w:rsidP="007F0307">
    <w:pPr>
      <w:pStyle w:val="Encabezado"/>
      <w:jc w:val="right"/>
      <w:rPr>
        <w:rFonts w:ascii="Palatino Linotype" w:hAnsi="Palatino Linotype" w:cs="Arial"/>
        <w:b/>
        <w:sz w:val="20"/>
        <w:szCs w:val="20"/>
      </w:rPr>
    </w:pPr>
    <w:r>
      <w:rPr>
        <w:rFonts w:ascii="Palatino Linotype" w:hAnsi="Palatino Linotype" w:cs="Arial"/>
        <w:b/>
        <w:sz w:val="20"/>
        <w:szCs w:val="20"/>
      </w:rPr>
      <w:t>VOTO PARTICULAR</w:t>
    </w:r>
    <w:r w:rsidRPr="00563D0F">
      <w:rPr>
        <w:rFonts w:ascii="Palatino Linotype" w:hAnsi="Palatino Linotype" w:cs="Arial"/>
        <w:b/>
        <w:sz w:val="20"/>
        <w:szCs w:val="20"/>
      </w:rPr>
      <w:t xml:space="preserve"> </w:t>
    </w:r>
  </w:p>
  <w:p w:rsidR="007F0307" w:rsidRPr="00B976C5" w:rsidRDefault="00E8240F" w:rsidP="00B976C5">
    <w:pPr>
      <w:pStyle w:val="Encabezado"/>
      <w:jc w:val="right"/>
      <w:rPr>
        <w:rFonts w:ascii="Palatino Linotype" w:hAnsi="Palatino Linotype"/>
        <w:b/>
        <w:sz w:val="22"/>
        <w:szCs w:val="22"/>
        <w:lang w:val="es-ES_tradnl"/>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A74FA7" w:rsidRPr="005A5E02">
      <w:rPr>
        <w:rFonts w:ascii="Palatino Linotype" w:hAnsi="Palatino Linotype"/>
        <w:b/>
        <w:sz w:val="22"/>
        <w:szCs w:val="22"/>
        <w:lang w:val="es-ES_tradnl"/>
      </w:rPr>
      <w:t>0</w:t>
    </w:r>
    <w:r w:rsidR="00A74FA7">
      <w:rPr>
        <w:rFonts w:ascii="Palatino Linotype" w:hAnsi="Palatino Linotype"/>
        <w:b/>
        <w:sz w:val="22"/>
        <w:szCs w:val="22"/>
        <w:lang w:val="es-ES_tradnl"/>
      </w:rPr>
      <w:t>3952/INFOEM/IP</w:t>
    </w:r>
    <w:r w:rsidR="00A74FA7" w:rsidRPr="005A5E02">
      <w:rPr>
        <w:rFonts w:ascii="Palatino Linotype" w:hAnsi="Palatino Linotype"/>
        <w:b/>
        <w:sz w:val="22"/>
        <w:szCs w:val="22"/>
        <w:lang w:val="es-ES_tradnl"/>
      </w:rPr>
      <w:t>/RR/201</w:t>
    </w:r>
    <w:r w:rsidR="00A74FA7">
      <w:rPr>
        <w:rFonts w:ascii="Palatino Linotype" w:hAnsi="Palatino Linotype"/>
        <w:b/>
        <w:sz w:val="22"/>
        <w:szCs w:val="22"/>
        <w:lang w:val="es-ES_tradnl"/>
      </w:rPr>
      <w:t>8 y acumulados</w:t>
    </w:r>
    <w:r>
      <w:rPr>
        <w:rFonts w:ascii="Palatino Linotype" w:hAnsi="Palatino Linotype"/>
        <w:b/>
        <w:sz w:val="22"/>
        <w:szCs w:val="22"/>
        <w:lang w:val="es-ES_tradnl"/>
      </w:rPr>
      <w:t>.</w:t>
    </w:r>
  </w:p>
  <w:p w:rsidR="007F0307" w:rsidRDefault="006E34B1" w:rsidP="007F0307">
    <w:pPr>
      <w:pStyle w:val="Encabezado"/>
      <w:jc w:val="right"/>
      <w:rPr>
        <w:rFonts w:ascii="Palatino Linotype" w:hAnsi="Palatino Linotype" w:cs="Arial"/>
        <w:sz w:val="20"/>
        <w:szCs w:val="20"/>
      </w:rPr>
    </w:pPr>
  </w:p>
  <w:p w:rsidR="00D40FD0" w:rsidRDefault="006E34B1" w:rsidP="007F0307">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342F08"/>
    <w:multiLevelType w:val="hybridMultilevel"/>
    <w:tmpl w:val="20D60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6B8"/>
    <w:rsid w:val="000A120A"/>
    <w:rsid w:val="00167FBA"/>
    <w:rsid w:val="001E2CFF"/>
    <w:rsid w:val="002147F4"/>
    <w:rsid w:val="00247F8A"/>
    <w:rsid w:val="00285951"/>
    <w:rsid w:val="003D0879"/>
    <w:rsid w:val="004C307B"/>
    <w:rsid w:val="00556CA0"/>
    <w:rsid w:val="0069108A"/>
    <w:rsid w:val="006A496E"/>
    <w:rsid w:val="006E34B1"/>
    <w:rsid w:val="0073319C"/>
    <w:rsid w:val="007F3D01"/>
    <w:rsid w:val="008426B8"/>
    <w:rsid w:val="00955E9B"/>
    <w:rsid w:val="00A216FA"/>
    <w:rsid w:val="00A74FA7"/>
    <w:rsid w:val="00B36104"/>
    <w:rsid w:val="00B71818"/>
    <w:rsid w:val="00BB3EE5"/>
    <w:rsid w:val="00CF26AD"/>
    <w:rsid w:val="00DF7B62"/>
    <w:rsid w:val="00E8240F"/>
    <w:rsid w:val="00E94B87"/>
    <w:rsid w:val="00EC33DC"/>
    <w:rsid w:val="00ED30B0"/>
    <w:rsid w:val="00F930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ED267E8-B9D7-4350-BD8A-6FE5CC64D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6B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426B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8426B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426B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426B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8426B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72"/>
    <w:qFormat/>
    <w:rsid w:val="008426B8"/>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link w:val="Prrafodelista"/>
    <w:uiPriority w:val="72"/>
    <w:qFormat/>
    <w:locked/>
    <w:rsid w:val="008426B8"/>
    <w:rPr>
      <w:rFonts w:ascii="Times New Roman" w:eastAsia="Calibri"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426B8"/>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426B8"/>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rsid w:val="008426B8"/>
    <w:rPr>
      <w:vertAlign w:val="superscript"/>
    </w:rPr>
  </w:style>
  <w:style w:type="character" w:styleId="Hipervnculo">
    <w:name w:val="Hyperlink"/>
    <w:basedOn w:val="Fuentedeprrafopredeter"/>
    <w:uiPriority w:val="99"/>
    <w:semiHidden/>
    <w:unhideWhenUsed/>
    <w:rsid w:val="008426B8"/>
    <w:rPr>
      <w:color w:val="0000FF"/>
      <w:u w:val="single"/>
    </w:rPr>
  </w:style>
  <w:style w:type="paragraph" w:styleId="Textodeglobo">
    <w:name w:val="Balloon Text"/>
    <w:basedOn w:val="Normal"/>
    <w:link w:val="TextodegloboCar"/>
    <w:uiPriority w:val="99"/>
    <w:semiHidden/>
    <w:unhideWhenUsed/>
    <w:rsid w:val="00A216F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16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1886</Words>
  <Characters>10378</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13</cp:revision>
  <cp:lastPrinted>2018-11-21T00:55:00Z</cp:lastPrinted>
  <dcterms:created xsi:type="dcterms:W3CDTF">2019-01-14T17:49:00Z</dcterms:created>
  <dcterms:modified xsi:type="dcterms:W3CDTF">2019-01-14T18:05:00Z</dcterms:modified>
</cp:coreProperties>
</file>